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55B51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5B51" w:rsidP="00026C76">
      <w:pPr>
        <w:divId w:val="2131001078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Diagnostiek en behandeling (ernstige, enkelvoudige) dyslexie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Tijdens deze cursus krijg je nog meer inzi</w:t>
      </w:r>
      <w:r>
        <w:rPr>
          <w:rFonts w:ascii="Verdana" w:hAnsi="Verdana"/>
          <w:sz w:val="18"/>
          <w:szCs w:val="18"/>
        </w:rPr>
        <w:t>cht in de diagnostiek en behandeling van ernstige enkelvoudige dyslexie. Hierbij gaan we uit van het Protocol Dyslexie Diagnostiek &amp; Behandeling voor de zorg (PDDB 2.0). Er wordt ingegaan op onder andere signalering, de diagnostische cyclus en de inhoud en</w:t>
      </w:r>
      <w:r>
        <w:rPr>
          <w:rFonts w:ascii="Verdana" w:hAnsi="Verdana"/>
          <w:sz w:val="18"/>
          <w:szCs w:val="18"/>
        </w:rPr>
        <w:t xml:space="preserve"> opzet van de dyslexiebehandeling. Praktische oefening vindt plaats aan de hand van enkele casussen.</w:t>
      </w:r>
    </w:p>
    <w:p w:rsidR="00000000" w:rsidRDefault="00255B5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Na afloop van deze cursus ben je bekend met:</w:t>
      </w:r>
    </w:p>
    <w:p w:rsidR="00000000" w:rsidRDefault="00255B5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onderscheid in definities SDN en PDDB 2.0</w:t>
      </w:r>
    </w:p>
    <w:p w:rsidR="00000000" w:rsidRDefault="00255B5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indicaties voor dyslexie-onderzoek</w:t>
      </w:r>
    </w:p>
    <w:p w:rsidR="00000000" w:rsidRDefault="00255B5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 diagnostische cyclu</w:t>
      </w:r>
      <w:r>
        <w:rPr>
          <w:rFonts w:ascii="Verdana" w:eastAsia="Times New Roman" w:hAnsi="Verdana"/>
          <w:sz w:val="18"/>
          <w:szCs w:val="18"/>
        </w:rPr>
        <w:t>s bij het vaststellen van dyslexie</w:t>
      </w:r>
    </w:p>
    <w:p w:rsidR="00000000" w:rsidRDefault="00255B5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van signalering/verwijzing van school, naar anamnese en diagnostisch onderzoek in 4 stappen:</w:t>
      </w:r>
      <w:r>
        <w:rPr>
          <w:rFonts w:ascii="Verdana" w:eastAsia="Times New Roman" w:hAnsi="Verdana"/>
          <w:sz w:val="18"/>
          <w:szCs w:val="18"/>
        </w:rPr>
        <w:br/>
        <w:t>1. ernst vaststellen</w:t>
      </w:r>
      <w:r>
        <w:rPr>
          <w:rFonts w:ascii="Verdana" w:eastAsia="Times New Roman" w:hAnsi="Verdana"/>
          <w:sz w:val="18"/>
          <w:szCs w:val="18"/>
        </w:rPr>
        <w:br/>
        <w:t xml:space="preserve">2. differentiaal diagnose </w:t>
      </w:r>
      <w:r>
        <w:rPr>
          <w:rFonts w:ascii="Verdana" w:eastAsia="Times New Roman" w:hAnsi="Verdana"/>
          <w:sz w:val="18"/>
          <w:szCs w:val="18"/>
        </w:rPr>
        <w:br/>
        <w:t>3. dyslexie typerend profiel</w:t>
      </w:r>
      <w:r>
        <w:rPr>
          <w:rFonts w:ascii="Verdana" w:eastAsia="Times New Roman" w:hAnsi="Verdana"/>
          <w:sz w:val="18"/>
          <w:szCs w:val="18"/>
        </w:rPr>
        <w:br/>
        <w:t>4. alternatieve verklaringen</w:t>
      </w:r>
    </w:p>
    <w:p w:rsidR="00000000" w:rsidRDefault="00255B5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op basis van casuïst</w:t>
      </w:r>
      <w:r>
        <w:rPr>
          <w:rFonts w:ascii="Verdana" w:eastAsia="Times New Roman" w:hAnsi="Verdana"/>
          <w:sz w:val="18"/>
          <w:szCs w:val="18"/>
        </w:rPr>
        <w:t>iek beter leren inschatten: komt dit kind in aanmerking voor onderzoek (signalering en voortraject)</w:t>
      </w:r>
    </w:p>
    <w:p w:rsidR="00000000" w:rsidRDefault="00255B5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lastRenderedPageBreak/>
        <w:t>nog beter leren onderzoeken van kinderen op dyslexie (diagnostisch proces, differentiaal diagnose, dyslexie typerend profiel)</w:t>
      </w:r>
    </w:p>
    <w:p w:rsidR="00000000" w:rsidRDefault="00255B5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beïnvloeden en aanmoedigen v</w:t>
      </w:r>
      <w:r>
        <w:rPr>
          <w:rFonts w:ascii="Verdana" w:eastAsia="Times New Roman" w:hAnsi="Verdana"/>
          <w:sz w:val="18"/>
          <w:szCs w:val="18"/>
        </w:rPr>
        <w:t>an motivatie</w:t>
      </w:r>
    </w:p>
    <w:p w:rsidR="00000000" w:rsidRDefault="00255B5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effectief leren behandelen van dyslexie</w:t>
      </w:r>
    </w:p>
    <w:p w:rsidR="00000000" w:rsidRDefault="00255B5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compenserende en dispenserende maatregelen bij dyslexie</w:t>
      </w:r>
    </w:p>
    <w:p w:rsidR="00000000" w:rsidRDefault="00255B5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Basispsycholoog en Orthopedagoog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>Professionals die geen of weinig ervaring</w:t>
      </w:r>
      <w:r>
        <w:rPr>
          <w:rFonts w:ascii="Verdana" w:eastAsia="Times New Roman" w:hAnsi="Verdana"/>
          <w:sz w:val="18"/>
          <w:szCs w:val="18"/>
        </w:rPr>
        <w:br/>
        <w:t>hebben met de diagnostiek en behandel</w:t>
      </w:r>
      <w:r>
        <w:rPr>
          <w:rFonts w:ascii="Verdana" w:eastAsia="Times New Roman" w:hAnsi="Verdana"/>
          <w:sz w:val="18"/>
          <w:szCs w:val="18"/>
        </w:rPr>
        <w:t>ing van ernstige, enkelvoudige dyslexie</w:t>
      </w:r>
      <w:r>
        <w:rPr>
          <w:rFonts w:ascii="Verdana" w:eastAsia="Times New Roman" w:hAnsi="Verdana"/>
          <w:sz w:val="18"/>
          <w:szCs w:val="18"/>
        </w:rPr>
        <w:br/>
        <w:t>(of pas recentelijk werken volgens het protocol PDDB 2.0).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Dag 1: diagnostiek</w:t>
      </w:r>
    </w:p>
    <w:p w:rsidR="00000000" w:rsidRDefault="00255B51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definitie dyslexie</w:t>
      </w:r>
    </w:p>
    <w:p w:rsidR="00000000" w:rsidRDefault="00255B51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doel PDDB 2.0</w:t>
      </w:r>
    </w:p>
    <w:p w:rsidR="00000000" w:rsidRDefault="00255B51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signalering en voortraject</w:t>
      </w:r>
    </w:p>
    <w:p w:rsidR="00000000" w:rsidRDefault="00255B51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diagnostisch proces:</w:t>
      </w:r>
    </w:p>
    <w:p w:rsidR="00000000" w:rsidRDefault="00255B5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ernst vaststellen</w:t>
      </w:r>
    </w:p>
    <w:p w:rsidR="00000000" w:rsidRDefault="00255B5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differentiaal diagnose</w:t>
      </w:r>
    </w:p>
    <w:p w:rsidR="00000000" w:rsidRDefault="00255B5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t>dys</w:t>
      </w:r>
      <w:r>
        <w:rPr>
          <w:rFonts w:ascii="Verdana" w:eastAsia="Times New Roman" w:hAnsi="Verdana"/>
          <w:sz w:val="18"/>
          <w:szCs w:val="18"/>
        </w:rPr>
        <w:t>lexie typerend profiel</w:t>
      </w:r>
    </w:p>
    <w:p w:rsidR="00000000" w:rsidRDefault="00255B5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alternatieve verklaringen</w:t>
      </w:r>
    </w:p>
    <w:p w:rsidR="00000000" w:rsidRDefault="00255B51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diagnostiekverklaring</w:t>
      </w:r>
    </w:p>
    <w:p w:rsidR="00000000" w:rsidRDefault="00255B51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handelingsadviezen</w:t>
      </w:r>
    </w:p>
    <w:p w:rsidR="00000000" w:rsidRDefault="00255B51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gevolgen van dyslexie</w:t>
      </w:r>
    </w:p>
    <w:p w:rsidR="00000000" w:rsidRDefault="00255B5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  <w:t xml:space="preserve">Dag 2: behandeling van ernstige lees- en spellingsproblemen </w:t>
      </w:r>
    </w:p>
    <w:p w:rsidR="00000000" w:rsidRDefault="00255B51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voorwaarden starten dyslexiebehandeling</w:t>
      </w:r>
    </w:p>
    <w:p w:rsidR="00000000" w:rsidRDefault="00255B51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motivatie</w:t>
      </w:r>
    </w:p>
    <w:p w:rsidR="00000000" w:rsidRDefault="00255B51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geen belemmerende </w:t>
      </w:r>
      <w:proofErr w:type="spellStart"/>
      <w:r>
        <w:rPr>
          <w:rFonts w:ascii="Verdana" w:eastAsia="Times New Roman" w:hAnsi="Verdana"/>
          <w:sz w:val="18"/>
          <w:szCs w:val="18"/>
        </w:rPr>
        <w:t>comorbiditeit</w:t>
      </w:r>
      <w:proofErr w:type="spellEnd"/>
    </w:p>
    <w:p w:rsidR="00000000" w:rsidRDefault="00255B51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inspanningsverplichting</w:t>
      </w:r>
    </w:p>
    <w:p w:rsidR="00000000" w:rsidRDefault="00255B51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aanwezigheid</w:t>
      </w:r>
    </w:p>
    <w:p w:rsidR="00000000" w:rsidRDefault="00255B51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effectieve dyslexiebehandeling</w:t>
      </w:r>
    </w:p>
    <w:p w:rsidR="00000000" w:rsidRDefault="00255B51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behandelproces</w:t>
      </w:r>
    </w:p>
    <w:p w:rsidR="00000000" w:rsidRDefault="00255B51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behandelduur en frequentie</w:t>
      </w:r>
    </w:p>
    <w:p w:rsidR="00000000" w:rsidRDefault="00255B51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handelingsplan</w:t>
      </w:r>
    </w:p>
    <w:p w:rsidR="00000000" w:rsidRDefault="00255B51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evaluatie</w:t>
      </w:r>
    </w:p>
    <w:p w:rsidR="00000000" w:rsidRDefault="00255B51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rol en samenwerking school</w:t>
      </w:r>
    </w:p>
    <w:p w:rsidR="00000000" w:rsidRDefault="00255B51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t>compenserende en dispenserende maatregelen</w:t>
      </w:r>
    </w:p>
    <w:p w:rsidR="00000000" w:rsidRDefault="00255B51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dwaa</w:t>
      </w:r>
      <w:r>
        <w:rPr>
          <w:rFonts w:ascii="Verdana" w:eastAsia="Times New Roman" w:hAnsi="Verdana"/>
          <w:sz w:val="18"/>
          <w:szCs w:val="18"/>
        </w:rPr>
        <w:t>lwegen in de dyslexiebehandeling</w:t>
      </w:r>
    </w:p>
    <w:p w:rsidR="00000000" w:rsidRDefault="00255B5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Jojanneke van der Beek MSc - , Nienke de Boer MSc - , drs. Ilse Ganzinga - 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</w:t>
      </w:r>
      <w:r>
        <w:rPr>
          <w:rFonts w:ascii="Verdana" w:eastAsia="Times New Roman" w:hAnsi="Verdana"/>
          <w:b/>
          <w:bCs/>
          <w:sz w:val="18"/>
          <w:szCs w:val="18"/>
        </w:rPr>
        <w:t>ratuur</w:t>
      </w:r>
      <w:r>
        <w:rPr>
          <w:rFonts w:ascii="Verdana" w:eastAsia="Times New Roman" w:hAnsi="Verdana"/>
          <w:sz w:val="18"/>
          <w:szCs w:val="18"/>
        </w:rPr>
        <w:br/>
        <w:t>Uiterlijk vijf weken voor de startdatum word je geïnformeerd over eventuele aan te schaffen boeken.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en 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</w:t>
      </w:r>
      <w:r>
        <w:rPr>
          <w:rFonts w:ascii="Verdana" w:eastAsia="Times New Roman" w:hAnsi="Verdana"/>
          <w:sz w:val="18"/>
          <w:szCs w:val="18"/>
        </w:rPr>
        <w:t>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93D"/>
    <w:multiLevelType w:val="multilevel"/>
    <w:tmpl w:val="7BA8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90AC1"/>
    <w:multiLevelType w:val="multilevel"/>
    <w:tmpl w:val="91C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73F57"/>
    <w:multiLevelType w:val="multilevel"/>
    <w:tmpl w:val="718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8136D"/>
    <w:multiLevelType w:val="multilevel"/>
    <w:tmpl w:val="ECE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3607F"/>
    <w:multiLevelType w:val="multilevel"/>
    <w:tmpl w:val="8916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93FF4"/>
    <w:multiLevelType w:val="multilevel"/>
    <w:tmpl w:val="80E4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94AF8"/>
    <w:multiLevelType w:val="multilevel"/>
    <w:tmpl w:val="A21A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A5120"/>
    <w:multiLevelType w:val="multilevel"/>
    <w:tmpl w:val="E3FA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07D12"/>
    <w:multiLevelType w:val="multilevel"/>
    <w:tmpl w:val="E448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76"/>
    <w:rsid w:val="00026C76"/>
    <w:rsid w:val="002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857F-5E36-43F4-8112-F5E973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2020-07-24T12:00:00Z</dcterms:created>
  <dcterms:modified xsi:type="dcterms:W3CDTF">2020-07-24T12:00:00Z</dcterms:modified>
</cp:coreProperties>
</file>